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18" w:rsidRPr="0062387C" w:rsidRDefault="008A5AC0" w:rsidP="0062387C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87C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8A5AC0" w:rsidRPr="0062387C" w:rsidRDefault="008A5AC0" w:rsidP="0062387C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87C">
        <w:rPr>
          <w:rFonts w:ascii="Times New Roman" w:hAnsi="Times New Roman" w:cs="Times New Roman"/>
          <w:b/>
          <w:i/>
          <w:sz w:val="28"/>
          <w:szCs w:val="28"/>
        </w:rPr>
        <w:t>по подготовке учащихся 11–а класса к ГВЭ</w:t>
      </w:r>
    </w:p>
    <w:p w:rsidR="008A5AC0" w:rsidRPr="0062387C" w:rsidRDefault="008A5AC0" w:rsidP="0062387C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87C">
        <w:rPr>
          <w:rFonts w:ascii="Times New Roman" w:hAnsi="Times New Roman" w:cs="Times New Roman"/>
          <w:b/>
          <w:i/>
          <w:sz w:val="28"/>
          <w:szCs w:val="28"/>
        </w:rPr>
        <w:t>на 2009 – 2010 учебный год.</w:t>
      </w:r>
    </w:p>
    <w:p w:rsidR="00874BCE" w:rsidRPr="0062387C" w:rsidRDefault="008A5AC0" w:rsidP="0062387C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87C">
        <w:rPr>
          <w:rFonts w:ascii="Times New Roman" w:hAnsi="Times New Roman" w:cs="Times New Roman"/>
          <w:b/>
          <w:sz w:val="28"/>
          <w:szCs w:val="28"/>
        </w:rPr>
        <w:t>Учитель математики МОУ « СОШ № 24»</w:t>
      </w:r>
      <w:r w:rsidRPr="0062387C">
        <w:rPr>
          <w:rFonts w:ascii="Times New Roman" w:hAnsi="Times New Roman" w:cs="Times New Roman"/>
          <w:b/>
        </w:rPr>
        <w:t xml:space="preserve"> – </w:t>
      </w:r>
      <w:r w:rsidRPr="0062387C">
        <w:rPr>
          <w:rFonts w:ascii="Times New Roman" w:hAnsi="Times New Roman" w:cs="Times New Roman"/>
          <w:b/>
          <w:sz w:val="32"/>
          <w:szCs w:val="32"/>
        </w:rPr>
        <w:t>Ильина О. И.</w:t>
      </w:r>
    </w:p>
    <w:p w:rsidR="00110F13" w:rsidRPr="0062387C" w:rsidRDefault="0087630C" w:rsidP="0062387C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87C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10F13" w:rsidRPr="0062387C" w:rsidRDefault="00110F13" w:rsidP="006238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В 2010 учебном году Единый государственный экзамен по математике будет проводиться в форме, несколько отличающейся от той, которая использовалась ранее. Формальные отличия заключаются в числе частей экзамена (теперь их две вместо трёх), количестве задач, которое уменьшилось почти на треть</w:t>
      </w:r>
      <w:r w:rsidR="00A94B14" w:rsidRPr="0062387C">
        <w:rPr>
          <w:rFonts w:ascii="Times New Roman" w:hAnsi="Times New Roman" w:cs="Times New Roman"/>
          <w:sz w:val="28"/>
          <w:szCs w:val="28"/>
        </w:rPr>
        <w:t xml:space="preserve"> </w:t>
      </w:r>
      <w:r w:rsidRPr="0062387C">
        <w:rPr>
          <w:rFonts w:ascii="Times New Roman" w:hAnsi="Times New Roman" w:cs="Times New Roman"/>
          <w:sz w:val="28"/>
          <w:szCs w:val="28"/>
        </w:rPr>
        <w:t>(теперь их всего 18), видах заданий (исключены задания с выбором ответа)</w:t>
      </w:r>
      <w:r w:rsidR="00A94B14" w:rsidRPr="0062387C">
        <w:rPr>
          <w:rFonts w:ascii="Times New Roman" w:hAnsi="Times New Roman" w:cs="Times New Roman"/>
          <w:sz w:val="28"/>
          <w:szCs w:val="28"/>
        </w:rPr>
        <w:t>. Стали более чётко оформленными «школьная» (первая, состоящая из 12 задач В1-В12 с кратким ответом) и «вузовская» (вторая, в которой 6 задач С1-С6 с полным решением) части экзамена.</w:t>
      </w:r>
      <w:r w:rsidR="009F29F0" w:rsidRPr="0062387C">
        <w:rPr>
          <w:rFonts w:ascii="Times New Roman" w:hAnsi="Times New Roman" w:cs="Times New Roman"/>
          <w:sz w:val="28"/>
          <w:szCs w:val="28"/>
        </w:rPr>
        <w:t xml:space="preserve"> Изменение формы и отчасти идеологии экзамена требуют  от учителя действий позволяющих выпускникам лучше ориентироваться </w:t>
      </w:r>
      <w:r w:rsidR="007012A9" w:rsidRPr="0062387C">
        <w:rPr>
          <w:rFonts w:ascii="Times New Roman" w:hAnsi="Times New Roman" w:cs="Times New Roman"/>
          <w:sz w:val="28"/>
          <w:szCs w:val="28"/>
        </w:rPr>
        <w:t>в предстоящей итоговой аттестации и исключающих (облегчающих) возможные стрессовые ситуации, связанные со сдачей экзамена по математике.</w:t>
      </w:r>
    </w:p>
    <w:p w:rsidR="007012A9" w:rsidRPr="0062387C" w:rsidRDefault="0087630C" w:rsidP="0062387C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b/>
          <w:sz w:val="28"/>
          <w:szCs w:val="28"/>
        </w:rPr>
        <w:t>Умения и навыки необходимые для успешной сдачи экзамена.</w:t>
      </w:r>
    </w:p>
    <w:p w:rsidR="00EE7BA1" w:rsidRPr="0062387C" w:rsidRDefault="00EE7BA1" w:rsidP="0062387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Строить графики элементарных функций и проводить преобразования графиков, используя изученные методы.</w:t>
      </w:r>
    </w:p>
    <w:p w:rsidR="00EE7BA1" w:rsidRPr="0062387C" w:rsidRDefault="00EE7BA1" w:rsidP="0062387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Проводить тождественные преобразования иррациональных, логарифмических, показательных и тригонометрических выражений.</w:t>
      </w:r>
    </w:p>
    <w:p w:rsidR="00EE7BA1" w:rsidRPr="0062387C" w:rsidRDefault="00EE7BA1" w:rsidP="0062387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Решать иррациональные, логарифмические и тригонометрические  уравнения и неравенства, доказывать неравенства и тождества.</w:t>
      </w:r>
    </w:p>
    <w:p w:rsidR="00EE7BA1" w:rsidRPr="0062387C" w:rsidRDefault="00EE7BA1" w:rsidP="0062387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Решать системы уравнений изученными методами.</w:t>
      </w:r>
    </w:p>
    <w:p w:rsidR="00EE7BA1" w:rsidRPr="0062387C" w:rsidRDefault="00D00F7C" w:rsidP="0062387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Применять аппарат математического анализа к решению задач.</w:t>
      </w:r>
    </w:p>
    <w:p w:rsidR="00D00F7C" w:rsidRPr="0062387C" w:rsidRDefault="00D00F7C" w:rsidP="0062387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Владеть основными алгоритмами и формулами решения математических задач.</w:t>
      </w:r>
    </w:p>
    <w:p w:rsidR="0087630C" w:rsidRPr="0062387C" w:rsidRDefault="00D00F7C" w:rsidP="0062387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Владеть определённым уровнем стереометрических представлений.</w:t>
      </w:r>
    </w:p>
    <w:p w:rsidR="00D00F7C" w:rsidRPr="0062387C" w:rsidRDefault="00D00F7C" w:rsidP="0062387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Проводить полные обоснования в ходе теоретических рассуждений и при решении задач, используя для этого изученные в курсах планиметрии и стереометрии теоретические сведения.</w:t>
      </w:r>
    </w:p>
    <w:p w:rsidR="00D00F7C" w:rsidRPr="0062387C" w:rsidRDefault="00F51857" w:rsidP="0062387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Изображать на рисунках и чертежах пространственные геометрические фигуры и их комбинации, задаваемые условием задачи.</w:t>
      </w:r>
    </w:p>
    <w:p w:rsidR="00F51857" w:rsidRPr="0062387C" w:rsidRDefault="00F51857" w:rsidP="0062387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Применять основные методы геометрии (проектирования, преобразований, векторный, координатный) к решению геометрических задач.</w:t>
      </w:r>
    </w:p>
    <w:p w:rsidR="008A5AC0" w:rsidRPr="0062387C" w:rsidRDefault="002F23EE" w:rsidP="0062387C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87C">
        <w:rPr>
          <w:rFonts w:ascii="Times New Roman" w:hAnsi="Times New Roman" w:cs="Times New Roman"/>
          <w:b/>
          <w:sz w:val="32"/>
          <w:szCs w:val="32"/>
        </w:rPr>
        <w:lastRenderedPageBreak/>
        <w:t>Основные мероприятия по подготовке к ГВЭ</w:t>
      </w:r>
    </w:p>
    <w:p w:rsidR="002F23EE" w:rsidRPr="0062387C" w:rsidRDefault="002F23EE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Провести цикл бесед с выпускниками по общим рекомендациям при решении задач Единого государственного экзамена.</w:t>
      </w:r>
    </w:p>
    <w:p w:rsidR="002F23EE" w:rsidRPr="0062387C" w:rsidRDefault="002F23EE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 xml:space="preserve">Включать в устные упражнения (на каждом уроке) задания на вычисления, на чтение графика функции, простейшие уравнения, </w:t>
      </w:r>
      <w:r w:rsidR="00F66EB4" w:rsidRPr="0062387C">
        <w:rPr>
          <w:rFonts w:ascii="Times New Roman" w:hAnsi="Times New Roman" w:cs="Times New Roman"/>
          <w:sz w:val="28"/>
          <w:szCs w:val="28"/>
        </w:rPr>
        <w:t>задания на вычисление элементов треугольника, анализ практической ситуации, вычисление площади плоской фигуры, вычисление производной, площадей поверхностей или объёмов многогранников и тел вращения, исследования функций, решение задач на составление уравнений.</w:t>
      </w:r>
    </w:p>
    <w:p w:rsidR="001B1393" w:rsidRPr="0062387C" w:rsidRDefault="001B1393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Приобрести для каждого выпускника универсальные материалы для подготовки к ЕГЭ.</w:t>
      </w:r>
    </w:p>
    <w:p w:rsidR="00F66EB4" w:rsidRPr="0062387C" w:rsidRDefault="00F66EB4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Провести цикл диагностических работ с целью выявления проблемных зон в знаниях и навыках выпускников.</w:t>
      </w:r>
    </w:p>
    <w:p w:rsidR="00F66EB4" w:rsidRPr="0062387C" w:rsidRDefault="00F66EB4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 xml:space="preserve">Регулярно проводить консультации и тренинги </w:t>
      </w:r>
      <w:r w:rsidR="001465DF" w:rsidRPr="0062387C">
        <w:rPr>
          <w:rFonts w:ascii="Times New Roman" w:hAnsi="Times New Roman" w:cs="Times New Roman"/>
          <w:sz w:val="28"/>
          <w:szCs w:val="28"/>
        </w:rPr>
        <w:t>по устранению пробелов в знаниях учащихся.</w:t>
      </w:r>
    </w:p>
    <w:p w:rsidR="001465DF" w:rsidRPr="0062387C" w:rsidRDefault="006B5D94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Провести итоговое повторение по теоретическому и практическому  курсу алгебры и начал анализа и геометрии, включив в него основные темы содержания Единого государственного экзамена.</w:t>
      </w:r>
    </w:p>
    <w:p w:rsidR="006B5D94" w:rsidRPr="0062387C" w:rsidRDefault="006B5D94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Провести пробный экзамен (внутри школьный), приближенный по организации к Единому государственному экзамену.</w:t>
      </w:r>
    </w:p>
    <w:p w:rsidR="007E36F4" w:rsidRPr="0062387C" w:rsidRDefault="007E36F4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Проанализировать результаты пробного экзамена и довести сведения до учащихся, а также использовать данный материал для планирования содержания консультаций.</w:t>
      </w:r>
    </w:p>
    <w:p w:rsidR="006B5D94" w:rsidRPr="0062387C" w:rsidRDefault="007E36F4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Провести серию консультаций по подготовке к ЕГЭ.</w:t>
      </w:r>
    </w:p>
    <w:p w:rsidR="00F66C18" w:rsidRPr="0062387C" w:rsidRDefault="00F66C18" w:rsidP="0062387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62387C" w:rsidRDefault="0062387C" w:rsidP="0062387C">
      <w:pPr>
        <w:ind w:left="426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2387C" w:rsidRDefault="0062387C" w:rsidP="0062387C">
      <w:pPr>
        <w:ind w:left="426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2387C" w:rsidRDefault="0062387C" w:rsidP="0062387C">
      <w:pPr>
        <w:ind w:left="426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2387C" w:rsidRDefault="0062387C" w:rsidP="0062387C">
      <w:pPr>
        <w:ind w:left="426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2387C" w:rsidRDefault="0062387C" w:rsidP="0062387C">
      <w:pPr>
        <w:ind w:left="426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2387C" w:rsidRDefault="0062387C" w:rsidP="0062387C">
      <w:pPr>
        <w:ind w:left="426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2387C" w:rsidRDefault="0062387C" w:rsidP="0062387C">
      <w:pPr>
        <w:ind w:left="426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F66C18" w:rsidRPr="0062387C" w:rsidRDefault="00F66C18" w:rsidP="0062387C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87C">
        <w:rPr>
          <w:rFonts w:ascii="Times New Roman" w:hAnsi="Times New Roman" w:cs="Times New Roman"/>
          <w:b/>
          <w:sz w:val="36"/>
          <w:szCs w:val="36"/>
        </w:rPr>
        <w:lastRenderedPageBreak/>
        <w:t>План работы</w:t>
      </w:r>
    </w:p>
    <w:p w:rsidR="00F66C18" w:rsidRPr="0062387C" w:rsidRDefault="00F66C18" w:rsidP="0062387C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87C">
        <w:rPr>
          <w:rFonts w:ascii="Times New Roman" w:hAnsi="Times New Roman" w:cs="Times New Roman"/>
          <w:b/>
          <w:i/>
          <w:sz w:val="28"/>
          <w:szCs w:val="28"/>
        </w:rPr>
        <w:t>по подготовке учащихся 9-а,</w:t>
      </w:r>
      <w:r w:rsidR="009E50F1" w:rsidRPr="006238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387C">
        <w:rPr>
          <w:rFonts w:ascii="Times New Roman" w:hAnsi="Times New Roman" w:cs="Times New Roman"/>
          <w:b/>
          <w:i/>
          <w:sz w:val="28"/>
          <w:szCs w:val="28"/>
        </w:rPr>
        <w:t>б классов к Г</w:t>
      </w:r>
      <w:r w:rsidR="009E50F1" w:rsidRPr="0062387C">
        <w:rPr>
          <w:rFonts w:ascii="Times New Roman" w:hAnsi="Times New Roman" w:cs="Times New Roman"/>
          <w:b/>
          <w:i/>
          <w:sz w:val="28"/>
          <w:szCs w:val="28"/>
        </w:rPr>
        <w:t>ИА</w:t>
      </w:r>
    </w:p>
    <w:p w:rsidR="00F66C18" w:rsidRPr="0062387C" w:rsidRDefault="00F66C18" w:rsidP="0062387C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87C">
        <w:rPr>
          <w:rFonts w:ascii="Times New Roman" w:hAnsi="Times New Roman" w:cs="Times New Roman"/>
          <w:b/>
          <w:i/>
          <w:sz w:val="28"/>
          <w:szCs w:val="28"/>
        </w:rPr>
        <w:t>на 2009 – 2010 учебный год.</w:t>
      </w:r>
    </w:p>
    <w:p w:rsidR="009E50F1" w:rsidRPr="0062387C" w:rsidRDefault="00F66C18" w:rsidP="0062387C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b/>
          <w:sz w:val="28"/>
          <w:szCs w:val="28"/>
        </w:rPr>
        <w:t>Учитель математики МОУ « СОШ № 24» – Ильина О. И.</w:t>
      </w:r>
    </w:p>
    <w:p w:rsidR="00F66C18" w:rsidRPr="0062387C" w:rsidRDefault="00F66C18" w:rsidP="0062387C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66C18" w:rsidRPr="0062387C" w:rsidRDefault="00D130C5" w:rsidP="006238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Основное назначение новой системы государственной (итоговой) аттестации по алгебре в 9 классе – введение открытой, объективной, независимой процедуры оценивания учебных достижений учащихся, результаты которой будут способствовать осознанному выбору дальнейшего пути получения образования, а также могут учитываться при формировании профильных десятых классов. Экзаменационные материалы реализуют современные подходы к построению измерителей, они обеспечивают более широкие, дифференцирующие возможности</w:t>
      </w:r>
      <w:r w:rsidR="00F020A2" w:rsidRPr="0062387C">
        <w:rPr>
          <w:rFonts w:ascii="Times New Roman" w:hAnsi="Times New Roman" w:cs="Times New Roman"/>
          <w:sz w:val="28"/>
          <w:szCs w:val="28"/>
        </w:rPr>
        <w:t>, ориентированы на сегодняшние требования к уровню подготовки выпускников. Экзаменационная работа рассчитана на выпускников девятых классов общеобразовательных учреждений. Её содержание находится в рамках обязательного минимума содержания образования по математике в основной школе, при этом подбор заданий осуществлён с учётом идеологии требований к уровню подготовки учащихся, предъявляемых новыми образовательными стандартами. Работа состоит из</w:t>
      </w:r>
      <w:r w:rsidR="00B6440B" w:rsidRPr="0062387C">
        <w:rPr>
          <w:rFonts w:ascii="Times New Roman" w:hAnsi="Times New Roman" w:cs="Times New Roman"/>
          <w:sz w:val="28"/>
          <w:szCs w:val="28"/>
        </w:rPr>
        <w:t xml:space="preserve"> д</w:t>
      </w:r>
      <w:r w:rsidR="00F020A2" w:rsidRPr="0062387C">
        <w:rPr>
          <w:rFonts w:ascii="Times New Roman" w:hAnsi="Times New Roman" w:cs="Times New Roman"/>
          <w:sz w:val="28"/>
          <w:szCs w:val="28"/>
        </w:rPr>
        <w:t>вух частей</w:t>
      </w:r>
      <w:r w:rsidR="00B6440B" w:rsidRPr="0062387C">
        <w:rPr>
          <w:rFonts w:ascii="Times New Roman" w:hAnsi="Times New Roman" w:cs="Times New Roman"/>
          <w:sz w:val="28"/>
          <w:szCs w:val="28"/>
        </w:rPr>
        <w:t>. Первая часть направлена на проверку базовой подготовки выпускников</w:t>
      </w:r>
      <w:r w:rsidR="00D6045A" w:rsidRPr="0062387C">
        <w:rPr>
          <w:rFonts w:ascii="Times New Roman" w:hAnsi="Times New Roman" w:cs="Times New Roman"/>
          <w:sz w:val="28"/>
          <w:szCs w:val="28"/>
        </w:rPr>
        <w:t xml:space="preserve"> в её современном понимании. По сравнению с традиционным экзаменом здесь усилены понятийные и практические аспекты. При выполнении заданий первой части учащиеся должны продемонстрировать определённую системность знаний. Эта часть работы содержит 16 заданий с выбором ответа. Вторая часть направлена на дифференцированную проверку повышенных уровней подготовки.</w:t>
      </w:r>
      <w:r w:rsidR="00090BB9" w:rsidRPr="0062387C">
        <w:rPr>
          <w:rFonts w:ascii="Times New Roman" w:hAnsi="Times New Roman" w:cs="Times New Roman"/>
          <w:sz w:val="28"/>
          <w:szCs w:val="28"/>
        </w:rPr>
        <w:t xml:space="preserve"> Она содержит задания из различных  разделов курса, предусматривающих полную запись хода решения</w:t>
      </w:r>
      <w:r w:rsidR="00B41374" w:rsidRPr="0062387C">
        <w:rPr>
          <w:rFonts w:ascii="Times New Roman" w:hAnsi="Times New Roman" w:cs="Times New Roman"/>
          <w:sz w:val="28"/>
          <w:szCs w:val="28"/>
        </w:rPr>
        <w:t>.</w:t>
      </w:r>
      <w:r w:rsidR="00090BB9" w:rsidRPr="0062387C">
        <w:rPr>
          <w:rFonts w:ascii="Times New Roman" w:hAnsi="Times New Roman" w:cs="Times New Roman"/>
          <w:sz w:val="28"/>
          <w:szCs w:val="28"/>
        </w:rPr>
        <w:t xml:space="preserve"> Задания во второй части расположены по нарастанию сложности – от относительно </w:t>
      </w:r>
      <w:proofErr w:type="gramStart"/>
      <w:r w:rsidR="00090BB9" w:rsidRPr="0062387C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="00090BB9" w:rsidRPr="0062387C">
        <w:rPr>
          <w:rFonts w:ascii="Times New Roman" w:hAnsi="Times New Roman" w:cs="Times New Roman"/>
          <w:sz w:val="28"/>
          <w:szCs w:val="28"/>
        </w:rPr>
        <w:t xml:space="preserve"> до достаточно сложных, требующих свободного владения</w:t>
      </w:r>
      <w:r w:rsidR="00B41374" w:rsidRPr="0062387C">
        <w:rPr>
          <w:rFonts w:ascii="Times New Roman" w:hAnsi="Times New Roman" w:cs="Times New Roman"/>
          <w:sz w:val="28"/>
          <w:szCs w:val="28"/>
        </w:rPr>
        <w:t xml:space="preserve"> материалом и </w:t>
      </w:r>
      <w:r w:rsidR="00090BB9" w:rsidRPr="0062387C">
        <w:rPr>
          <w:rFonts w:ascii="Times New Roman" w:hAnsi="Times New Roman" w:cs="Times New Roman"/>
          <w:sz w:val="28"/>
          <w:szCs w:val="28"/>
        </w:rPr>
        <w:t xml:space="preserve"> </w:t>
      </w:r>
      <w:r w:rsidR="00B41374" w:rsidRPr="0062387C">
        <w:rPr>
          <w:rFonts w:ascii="Times New Roman" w:hAnsi="Times New Roman" w:cs="Times New Roman"/>
          <w:sz w:val="28"/>
          <w:szCs w:val="28"/>
        </w:rPr>
        <w:t>высокого уровня математического развития. Задания этой части позволяют выяснить владение формально-оперативным алгебраическим аппаратом, способность к интеграции знаний из различных тем школьного курса, владение исследовательскими навыками, а также умение найти и применить нестандартные приёмы рассуждений.</w:t>
      </w:r>
    </w:p>
    <w:p w:rsidR="009E50F1" w:rsidRPr="0062387C" w:rsidRDefault="009E50F1" w:rsidP="006238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41374" w:rsidRPr="0062387C" w:rsidRDefault="00B41374" w:rsidP="0062387C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87C">
        <w:rPr>
          <w:rFonts w:ascii="Times New Roman" w:hAnsi="Times New Roman" w:cs="Times New Roman"/>
          <w:b/>
          <w:sz w:val="36"/>
          <w:szCs w:val="36"/>
        </w:rPr>
        <w:lastRenderedPageBreak/>
        <w:t>Умения и навыки необходимые для успешной сдачи экзамена.</w:t>
      </w:r>
    </w:p>
    <w:p w:rsidR="009E50F1" w:rsidRPr="0062387C" w:rsidRDefault="009E50F1" w:rsidP="0062387C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1374" w:rsidRPr="0062387C" w:rsidRDefault="00BC039E" w:rsidP="0062387C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Бегло и уверенно выполнять арифметические действия над числами, производить прикидку и оценку результатов</w:t>
      </w:r>
    </w:p>
    <w:p w:rsidR="00BC039E" w:rsidRPr="0062387C" w:rsidRDefault="004038FA" w:rsidP="0062387C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Свободно владеть техникой тождественных преобразований целых и дробно-рациональных выражений, выражений, содержащих корни и степени с дробным показателем</w:t>
      </w:r>
    </w:p>
    <w:p w:rsidR="004038FA" w:rsidRPr="0062387C" w:rsidRDefault="004038FA" w:rsidP="0062387C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Находить значения функций, заданных формулой, таблицей, графиком</w:t>
      </w:r>
    </w:p>
    <w:p w:rsidR="004038FA" w:rsidRPr="0062387C" w:rsidRDefault="004038FA" w:rsidP="0062387C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 xml:space="preserve">Строить и читать  графики функций, владеть основными приёмами </w:t>
      </w:r>
      <w:r w:rsidR="0031197C" w:rsidRPr="0062387C">
        <w:rPr>
          <w:rFonts w:ascii="Times New Roman" w:hAnsi="Times New Roman" w:cs="Times New Roman"/>
          <w:sz w:val="28"/>
          <w:szCs w:val="28"/>
        </w:rPr>
        <w:t xml:space="preserve"> преобразования графиков</w:t>
      </w:r>
    </w:p>
    <w:p w:rsidR="0031197C" w:rsidRPr="0062387C" w:rsidRDefault="0031197C" w:rsidP="0062387C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Владеть понятием последовательности и способами их задания</w:t>
      </w:r>
    </w:p>
    <w:p w:rsidR="0031197C" w:rsidRPr="0062387C" w:rsidRDefault="0031197C" w:rsidP="0062387C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Владеть основными приёмами решения уравнений, неравенств, систем уравнений и неравенств</w:t>
      </w:r>
    </w:p>
    <w:p w:rsidR="0031197C" w:rsidRPr="0062387C" w:rsidRDefault="0031197C" w:rsidP="0062387C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Решать уравнения с параметрами</w:t>
      </w:r>
    </w:p>
    <w:p w:rsidR="0031197C" w:rsidRPr="0062387C" w:rsidRDefault="0031197C" w:rsidP="0062387C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Решать текстовые задачи</w:t>
      </w:r>
    </w:p>
    <w:p w:rsidR="0031197C" w:rsidRPr="0062387C" w:rsidRDefault="0031197C" w:rsidP="0062387C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Владеть основными алгебраическими приёмами и методами и применять их при решении задач</w:t>
      </w:r>
    </w:p>
    <w:p w:rsidR="00B41374" w:rsidRPr="0062387C" w:rsidRDefault="00B41374" w:rsidP="006238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E50F1" w:rsidRPr="0062387C" w:rsidRDefault="0031197C" w:rsidP="0062387C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87C">
        <w:rPr>
          <w:rFonts w:ascii="Times New Roman" w:hAnsi="Times New Roman" w:cs="Times New Roman"/>
          <w:b/>
          <w:sz w:val="36"/>
          <w:szCs w:val="36"/>
        </w:rPr>
        <w:t>Основные мероприятия по подготовке к Г</w:t>
      </w:r>
      <w:r w:rsidR="009E50F1" w:rsidRPr="0062387C">
        <w:rPr>
          <w:rFonts w:ascii="Times New Roman" w:hAnsi="Times New Roman" w:cs="Times New Roman"/>
          <w:b/>
          <w:sz w:val="36"/>
          <w:szCs w:val="36"/>
        </w:rPr>
        <w:t>ИА</w:t>
      </w:r>
    </w:p>
    <w:p w:rsidR="0031197C" w:rsidRPr="0062387C" w:rsidRDefault="0031197C" w:rsidP="0062387C">
      <w:pPr>
        <w:ind w:left="426"/>
        <w:rPr>
          <w:rFonts w:ascii="Times New Roman" w:hAnsi="Times New Roman" w:cs="Times New Roman"/>
        </w:rPr>
      </w:pPr>
    </w:p>
    <w:p w:rsidR="0031197C" w:rsidRPr="0062387C" w:rsidRDefault="0031197C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Провести цикл бесед с выпускниками по общим рекомендациям при решении задач государственного экзамена.</w:t>
      </w:r>
    </w:p>
    <w:p w:rsidR="0031197C" w:rsidRPr="0062387C" w:rsidRDefault="0031197C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Включать в устные упражнения (на каждом уроке) задания на вычисления, на чтение графика функции, простейшие уравнения, анализ практической ситуации,  исследовани</w:t>
      </w:r>
      <w:r w:rsidR="00D3549D" w:rsidRPr="0062387C">
        <w:rPr>
          <w:rFonts w:ascii="Times New Roman" w:hAnsi="Times New Roman" w:cs="Times New Roman"/>
          <w:sz w:val="28"/>
          <w:szCs w:val="28"/>
        </w:rPr>
        <w:t>е</w:t>
      </w:r>
      <w:r w:rsidRPr="0062387C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D3549D" w:rsidRPr="0062387C">
        <w:rPr>
          <w:rFonts w:ascii="Times New Roman" w:hAnsi="Times New Roman" w:cs="Times New Roman"/>
          <w:sz w:val="28"/>
          <w:szCs w:val="28"/>
        </w:rPr>
        <w:t>и элементарными способами</w:t>
      </w:r>
      <w:proofErr w:type="gramStart"/>
      <w:r w:rsidR="00D3549D" w:rsidRPr="0062387C">
        <w:rPr>
          <w:rFonts w:ascii="Times New Roman" w:hAnsi="Times New Roman" w:cs="Times New Roman"/>
          <w:sz w:val="28"/>
          <w:szCs w:val="28"/>
        </w:rPr>
        <w:t xml:space="preserve"> </w:t>
      </w:r>
      <w:r w:rsidRPr="006238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387C">
        <w:rPr>
          <w:rFonts w:ascii="Times New Roman" w:hAnsi="Times New Roman" w:cs="Times New Roman"/>
          <w:sz w:val="28"/>
          <w:szCs w:val="28"/>
        </w:rPr>
        <w:t xml:space="preserve"> решение задач на составление уравнений</w:t>
      </w:r>
      <w:r w:rsidR="00D3549D" w:rsidRPr="0062387C">
        <w:rPr>
          <w:rFonts w:ascii="Times New Roman" w:hAnsi="Times New Roman" w:cs="Times New Roman"/>
          <w:sz w:val="28"/>
          <w:szCs w:val="28"/>
        </w:rPr>
        <w:t>, решение дробно-рациональных уравнений, решение неравенств, метод интервалов, свойства элементарных функций, квадратичная функция её свойства, график, решение уравнений, неравенств, свойства арифметической и геометрической прогрессии, теория вероятностей, комб</w:t>
      </w:r>
      <w:r w:rsidR="009E50F1" w:rsidRPr="0062387C">
        <w:rPr>
          <w:rFonts w:ascii="Times New Roman" w:hAnsi="Times New Roman" w:cs="Times New Roman"/>
          <w:sz w:val="28"/>
          <w:szCs w:val="28"/>
        </w:rPr>
        <w:t>инаторика, статистика</w:t>
      </w:r>
      <w:r w:rsidRPr="0062387C">
        <w:rPr>
          <w:rFonts w:ascii="Times New Roman" w:hAnsi="Times New Roman" w:cs="Times New Roman"/>
          <w:sz w:val="28"/>
          <w:szCs w:val="28"/>
        </w:rPr>
        <w:t>.</w:t>
      </w:r>
    </w:p>
    <w:p w:rsidR="001B1393" w:rsidRPr="0062387C" w:rsidRDefault="001B1393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Приобрести  для каждого выпускника универсальные материалы для подготовки  к ГИА по новой форме.</w:t>
      </w:r>
    </w:p>
    <w:p w:rsidR="0031197C" w:rsidRPr="0062387C" w:rsidRDefault="0031197C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Провести цикл диагностических работ с целью выявления проблемных зон в знаниях и навыках выпускников.</w:t>
      </w:r>
    </w:p>
    <w:p w:rsidR="0031197C" w:rsidRPr="0062387C" w:rsidRDefault="0031197C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lastRenderedPageBreak/>
        <w:t>Регулярно проводить консультации и тренинги по устранению пробелов в знаниях учащихся.</w:t>
      </w:r>
    </w:p>
    <w:p w:rsidR="0031197C" w:rsidRPr="0062387C" w:rsidRDefault="0031197C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Провести итоговое повторение по теоретическому и практическому  курсу алгебры, включив в него основные темы содержания  государственного экзамена.</w:t>
      </w:r>
    </w:p>
    <w:p w:rsidR="0031197C" w:rsidRPr="0062387C" w:rsidRDefault="0031197C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Провести пробный экзамен (внутри школьный), приближенный по организации к государственному экзамену.</w:t>
      </w:r>
    </w:p>
    <w:p w:rsidR="0031197C" w:rsidRPr="0062387C" w:rsidRDefault="0031197C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>Проанализировать результаты пробного экзамена и довести сведения до учащихся, а также использовать данный материал для планирования содержания консультаций.</w:t>
      </w:r>
    </w:p>
    <w:p w:rsidR="0031197C" w:rsidRPr="0062387C" w:rsidRDefault="0031197C" w:rsidP="0062387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387C">
        <w:rPr>
          <w:rFonts w:ascii="Times New Roman" w:hAnsi="Times New Roman" w:cs="Times New Roman"/>
          <w:sz w:val="28"/>
          <w:szCs w:val="28"/>
        </w:rPr>
        <w:t xml:space="preserve">Провести серию консультаций по подготовке к </w:t>
      </w:r>
      <w:r w:rsidR="009E50F1" w:rsidRPr="0062387C">
        <w:rPr>
          <w:rFonts w:ascii="Times New Roman" w:hAnsi="Times New Roman" w:cs="Times New Roman"/>
          <w:sz w:val="28"/>
          <w:szCs w:val="28"/>
        </w:rPr>
        <w:t>ГИА</w:t>
      </w:r>
      <w:r w:rsidRPr="0062387C">
        <w:rPr>
          <w:rFonts w:ascii="Times New Roman" w:hAnsi="Times New Roman" w:cs="Times New Roman"/>
          <w:sz w:val="28"/>
          <w:szCs w:val="28"/>
        </w:rPr>
        <w:t>.</w:t>
      </w:r>
    </w:p>
    <w:p w:rsidR="0031197C" w:rsidRPr="0062387C" w:rsidRDefault="0031197C" w:rsidP="006238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1197C" w:rsidRPr="0062387C" w:rsidSect="00F66C1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887"/>
    <w:multiLevelType w:val="hybridMultilevel"/>
    <w:tmpl w:val="00A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74210"/>
    <w:multiLevelType w:val="hybridMultilevel"/>
    <w:tmpl w:val="45E6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748A7"/>
    <w:multiLevelType w:val="hybridMultilevel"/>
    <w:tmpl w:val="EA40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A5AC0"/>
    <w:rsid w:val="00051CCB"/>
    <w:rsid w:val="00090BB9"/>
    <w:rsid w:val="000F5E93"/>
    <w:rsid w:val="00110F13"/>
    <w:rsid w:val="001465DF"/>
    <w:rsid w:val="001B1393"/>
    <w:rsid w:val="00215698"/>
    <w:rsid w:val="00250091"/>
    <w:rsid w:val="002F23EE"/>
    <w:rsid w:val="0031197C"/>
    <w:rsid w:val="00341722"/>
    <w:rsid w:val="004038FA"/>
    <w:rsid w:val="004204F4"/>
    <w:rsid w:val="00615463"/>
    <w:rsid w:val="0062387C"/>
    <w:rsid w:val="0069110F"/>
    <w:rsid w:val="006B5D94"/>
    <w:rsid w:val="007012A9"/>
    <w:rsid w:val="007E36F4"/>
    <w:rsid w:val="00874BCE"/>
    <w:rsid w:val="0087630C"/>
    <w:rsid w:val="008A5AC0"/>
    <w:rsid w:val="008B7B67"/>
    <w:rsid w:val="00922421"/>
    <w:rsid w:val="00987E1D"/>
    <w:rsid w:val="009E50F1"/>
    <w:rsid w:val="009F29F0"/>
    <w:rsid w:val="00A94B14"/>
    <w:rsid w:val="00AC2CD2"/>
    <w:rsid w:val="00AD1054"/>
    <w:rsid w:val="00B41374"/>
    <w:rsid w:val="00B5013A"/>
    <w:rsid w:val="00B6440B"/>
    <w:rsid w:val="00BB3C02"/>
    <w:rsid w:val="00BC039E"/>
    <w:rsid w:val="00D00F7C"/>
    <w:rsid w:val="00D130C5"/>
    <w:rsid w:val="00D3549D"/>
    <w:rsid w:val="00D6045A"/>
    <w:rsid w:val="00DB6F7E"/>
    <w:rsid w:val="00DE6DAE"/>
    <w:rsid w:val="00EC655E"/>
    <w:rsid w:val="00EE7BA1"/>
    <w:rsid w:val="00F020A2"/>
    <w:rsid w:val="00F51857"/>
    <w:rsid w:val="00F66C18"/>
    <w:rsid w:val="00F66EB4"/>
    <w:rsid w:val="00FF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2009-11-13T11:47:00Z</dcterms:created>
  <dcterms:modified xsi:type="dcterms:W3CDTF">2013-07-18T03:29:00Z</dcterms:modified>
</cp:coreProperties>
</file>